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46983">
      <w:pPr>
        <w:jc w:val="center"/>
        <w:rPr>
          <w:rFonts w:hint="eastAsia" w:ascii="黑体" w:eastAsia="黑体"/>
          <w:w w:val="95"/>
          <w:sz w:val="52"/>
          <w:lang w:eastAsia="zh-CN"/>
        </w:rPr>
      </w:pPr>
      <w:r>
        <w:rPr>
          <w:rFonts w:hint="eastAsia" w:ascii="黑体" w:eastAsia="黑体"/>
          <w:w w:val="95"/>
          <w:sz w:val="52"/>
          <w:lang w:val="en-US" w:eastAsia="zh-CN"/>
        </w:rPr>
        <w:t>ZTL-42单相</w:t>
      </w:r>
      <w:r>
        <w:rPr>
          <w:rFonts w:hint="eastAsia" w:ascii="黑体" w:eastAsia="黑体"/>
          <w:w w:val="95"/>
          <w:sz w:val="52"/>
          <w:lang w:eastAsia="zh-CN"/>
        </w:rPr>
        <w:t>智能终端</w:t>
      </w:r>
    </w:p>
    <w:p w14:paraId="7C1181B0">
      <w:pPr>
        <w:jc w:val="center"/>
        <w:rPr>
          <w:rFonts w:hint="eastAsia" w:ascii="黑体" w:eastAsia="黑体"/>
          <w:w w:val="95"/>
          <w:sz w:val="52"/>
          <w:lang w:eastAsia="zh-CN"/>
        </w:rPr>
      </w:pPr>
    </w:p>
    <w:p w14:paraId="711231AB">
      <w:pPr>
        <w:jc w:val="center"/>
        <w:rPr>
          <w:rFonts w:hint="eastAsia" w:ascii="黑体" w:eastAsia="黑体"/>
          <w:w w:val="95"/>
          <w:sz w:val="52"/>
          <w:lang w:eastAsia="zh-CN"/>
        </w:rPr>
      </w:pPr>
      <w:r>
        <w:rPr>
          <w:rFonts w:hint="eastAsia" w:ascii="黑体" w:eastAsia="黑体"/>
          <w:w w:val="95"/>
          <w:sz w:val="52"/>
          <w:lang w:eastAsia="zh-CN"/>
        </w:rPr>
        <w:drawing>
          <wp:inline distT="0" distB="0" distL="114300" distR="114300">
            <wp:extent cx="2159635" cy="3980815"/>
            <wp:effectExtent l="169545" t="86360" r="185420" b="104775"/>
            <wp:docPr id="2" name="图片 2" descr="123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3-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300000">
                      <a:off x="0" y="0"/>
                      <a:ext cx="2159635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2D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5F8A41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0" w:firstLineChars="0"/>
        <w:jc w:val="both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外型尺寸</w:t>
      </w:r>
    </w:p>
    <w:p w14:paraId="6295F8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宽×高×深：40×100×50 (单位：mm)</w:t>
      </w:r>
    </w:p>
    <w:p w14:paraId="4860EA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Chars="0"/>
        <w:jc w:val="both"/>
        <w:textAlignment w:val="auto"/>
        <w:rPr>
          <w:rFonts w:hint="default" w:asciiTheme="minorEastAsia" w:hAnsiTheme="minorEastAsia" w:cstheme="minorEastAsia"/>
          <w:sz w:val="18"/>
          <w:szCs w:val="18"/>
          <w:lang w:val="en-US" w:eastAsia="zh-CN"/>
        </w:rPr>
      </w:pPr>
    </w:p>
    <w:p w14:paraId="357C0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_Toc775"/>
      <w:bookmarkStart w:id="1" w:name="_Toc1158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、主要技术指标</w:t>
      </w:r>
      <w:bookmarkEnd w:id="0"/>
      <w:bookmarkEnd w:id="1"/>
    </w:p>
    <w:p w14:paraId="186318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2" w:name="_Toc8886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1. 使用环境</w:t>
      </w:r>
      <w:bookmarkEnd w:id="2"/>
    </w:p>
    <w:p w14:paraId="18E71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环境温度范围：－40°C～＋70°C，相对湿度范围：10%～100%，遮蔽及户外场所，安装场地的海拔高度不应超过1000m。</w:t>
      </w:r>
    </w:p>
    <w:p w14:paraId="006EBF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line="30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3" w:name="_Toc25365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2. 模拟量输入</w:t>
      </w:r>
      <w:bookmarkEnd w:id="3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ab/>
      </w:r>
    </w:p>
    <w:p w14:paraId="6CB95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额定交流电压：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220V；</w:t>
      </w:r>
    </w:p>
    <w:p w14:paraId="2F6D0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b)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额定交流电流：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可选配100A、200A、400A）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；</w:t>
      </w:r>
    </w:p>
    <w:p w14:paraId="0EB70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额定频率：50Hz。</w:t>
      </w:r>
    </w:p>
    <w:p w14:paraId="65C430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line="30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4" w:name="_Toc23376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3. 工作电源技术参数</w:t>
      </w:r>
      <w:bookmarkEnd w:id="4"/>
    </w:p>
    <w:p w14:paraId="3D6A6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额定电压：AC220V，允许偏差-30%~+40%</w:t>
      </w:r>
    </w:p>
    <w:p w14:paraId="29C493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line="300" w:lineRule="auto"/>
        <w:ind w:left="0" w:leftChars="0" w:firstLine="422" w:firstLineChars="175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4. 测量技术参数</w:t>
      </w:r>
    </w:p>
    <w:p w14:paraId="6632F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电压、电流测量误差：≤0.2％，测量范围0～120%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 w14:paraId="28BF6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有功、无功误差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：有功≤0.5％，无功≤1.0％，测量范围0～120%；</w:t>
      </w:r>
    </w:p>
    <w:p w14:paraId="79AE1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漏电流误差        ：≤2%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100mA以下时，误差为±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05863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）电能量误差        ：≤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0.5%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0F9433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line="30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5" w:name="_Toc1762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5. 功率消耗</w:t>
      </w:r>
      <w:bookmarkEnd w:id="5"/>
    </w:p>
    <w:p w14:paraId="6F056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功耗：视在功耗＜3VA、有功功耗＜2W。</w:t>
      </w:r>
    </w:p>
    <w:p w14:paraId="2C57C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line="300" w:lineRule="auto"/>
        <w:ind w:left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6. 防护等级</w:t>
      </w:r>
    </w:p>
    <w:p w14:paraId="2A0EB5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防护等级：IP34</w:t>
      </w:r>
    </w:p>
    <w:p w14:paraId="208DCE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三、功能</w:t>
      </w:r>
    </w:p>
    <w:p w14:paraId="0132044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2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0" w:leftChars="0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bookmarkStart w:id="6" w:name="_Toc1143"/>
      <w:bookmarkStart w:id="7" w:name="_Toc20111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3.1  数据</w:t>
      </w:r>
    </w:p>
    <w:p w14:paraId="061E25A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2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highlight w:val="none"/>
          <w:lang w:eastAsia="zh-CN"/>
        </w:rPr>
      </w:pPr>
      <w:r>
        <w:rPr>
          <w:rFonts w:hint="eastAsia" w:cs="宋体"/>
          <w:b/>
          <w:bCs/>
          <w:color w:val="auto"/>
          <w:spacing w:val="-4"/>
          <w:sz w:val="24"/>
          <w:szCs w:val="24"/>
          <w:highlight w:val="none"/>
          <w:lang w:val="en-US" w:eastAsia="zh-CN"/>
        </w:rPr>
        <w:t xml:space="preserve">3.1.1 </w:t>
      </w:r>
      <w:r>
        <w:rPr>
          <w:rFonts w:hint="eastAsia" w:cs="宋体"/>
          <w:b/>
          <w:bCs/>
          <w:color w:val="auto"/>
          <w:spacing w:val="-4"/>
          <w:sz w:val="24"/>
          <w:szCs w:val="24"/>
          <w:highlight w:val="none"/>
          <w:lang w:eastAsia="zh-CN"/>
        </w:rPr>
        <w:t>数据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highlight w:val="none"/>
          <w:lang w:eastAsia="zh-CN"/>
        </w:rPr>
        <w:t>采集</w:t>
      </w:r>
    </w:p>
    <w:p w14:paraId="525B86F6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a）数据项：</w:t>
      </w:r>
    </w:p>
    <w:p w14:paraId="0AB75D7F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单相电压、单相电流、漏电流、频率、功率；</w:t>
      </w:r>
    </w:p>
    <w:p w14:paraId="5AFAB1E9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电能计量：正向、反向有功电能量计量；</w:t>
      </w:r>
    </w:p>
    <w:p w14:paraId="55E1AE12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b）采集范围：</w:t>
      </w:r>
    </w:p>
    <w:p w14:paraId="5E99E284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电压：0.5Un～1.2Un；电流采集范围：5mA～1.2In；漏电流采集范围：0～1000mA；</w:t>
      </w:r>
    </w:p>
    <w:p w14:paraId="65E33442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c）采集精度：</w:t>
      </w:r>
    </w:p>
    <w:p w14:paraId="322E994C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电压：±0.5%；</w:t>
      </w:r>
    </w:p>
    <w:p w14:paraId="34E5181A">
      <w:pPr>
        <w:pStyle w:val="2"/>
        <w:spacing w:before="53" w:line="360" w:lineRule="auto"/>
        <w:ind w:firstLine="464" w:firstLineChars="200"/>
        <w:rPr>
          <w:rFonts w:hint="default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电流：1A以下，±2%（或±2mA）；1A-1.2In，0.5级；</w:t>
      </w:r>
    </w:p>
    <w:p w14:paraId="2B161FF5">
      <w:pPr>
        <w:pStyle w:val="2"/>
        <w:spacing w:before="53" w:line="360" w:lineRule="auto"/>
        <w:ind w:firstLine="464" w:firstLineChars="200"/>
        <w:rPr>
          <w:rFonts w:hint="default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漏电流：0～100mA，±2mA；100mA以上，±2%；</w:t>
      </w:r>
    </w:p>
    <w:p w14:paraId="5339EB0C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 xml:space="preserve">频率：0.01Hz； </w:t>
      </w:r>
    </w:p>
    <w:p w14:paraId="06D110B6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有功功率：1A以下，±2%；1A-1.2In，±1%；</w:t>
      </w:r>
    </w:p>
    <w:p w14:paraId="2865FC3B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无功功率：1A以下，±4%；1A-1.2In，±2%；</w:t>
      </w:r>
    </w:p>
    <w:p w14:paraId="26A4649C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电量累计：1A-1.2In，±1%。</w:t>
      </w:r>
    </w:p>
    <w:p w14:paraId="4FB0CAE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2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highlight w:val="none"/>
          <w:lang w:val="en-US" w:eastAsia="zh-CN"/>
        </w:rPr>
        <w:t xml:space="preserve">3.1.2 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highlight w:val="none"/>
          <w:lang w:eastAsia="zh-CN"/>
        </w:rPr>
        <w:t>数据存储</w:t>
      </w:r>
    </w:p>
    <w:p w14:paraId="4FBE58A5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a）数据存储：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eastAsia="zh-CN"/>
        </w:rPr>
        <w:t>支持电压、电流、电量等数据小时冻结，日冻结及月冻结；小时冻结数据存储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1个月，日冻结数据存储3个月，月冻结数据存储1年；</w:t>
      </w:r>
    </w:p>
    <w:p w14:paraId="20CDBF42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b）数据统计：每日最大负载电流、最小负载电流、最大漏电流、最小漏电流、最大电压、最小电压的数据统计，数据保存3个月；</w:t>
      </w:r>
    </w:p>
    <w:p w14:paraId="43481AE4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c）事件存储：支持电压欠压、过压，电流过载或短路以及其它扩展功能的事件存储；事件存储不少于100条。</w:t>
      </w:r>
    </w:p>
    <w:p w14:paraId="0CB52C0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2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highlight w:val="none"/>
          <w:lang w:val="en-US" w:eastAsia="zh-CN"/>
        </w:rPr>
        <w:t>3.1.3 数据交互</w:t>
      </w:r>
    </w:p>
    <w:p w14:paraId="1B08A2BE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a）实时数据交互：</w:t>
      </w:r>
    </w:p>
    <w:p w14:paraId="4B551B38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电压、电流、漏电流、有功功率及累计电量</w:t>
      </w:r>
    </w:p>
    <w:p w14:paraId="02224AE4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b）历史数据交互：</w:t>
      </w:r>
    </w:p>
    <w:p w14:paraId="09792D33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总回路的总电量、小时电量、日电量、月电量</w:t>
      </w:r>
    </w:p>
    <w:p w14:paraId="4C4545F0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总回路的每日最大负载电流、最小负载电流、最大漏电流、最小漏电流、最大电压、最小电压；</w:t>
      </w:r>
    </w:p>
    <w:p w14:paraId="1487F3F2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总回路的日电压、电流、漏电流的曲线（每天24个点）；</w:t>
      </w:r>
    </w:p>
    <w:p w14:paraId="5D4D0B1E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c）其他数据交互：</w:t>
      </w:r>
    </w:p>
    <w:p w14:paraId="162A8780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硬件、软件版本和表号；校表参数；</w:t>
      </w:r>
    </w:p>
    <w:p w14:paraId="70AC6CF1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通信模块的IMEI号和ICCID号，通信功率数据。</w:t>
      </w:r>
    </w:p>
    <w:p w14:paraId="761AC754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可通过指令对统计数据进行抄读；</w:t>
      </w:r>
    </w:p>
    <w:p w14:paraId="1AC92F9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2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0" w:leftChars="0"/>
        <w:jc w:val="both"/>
        <w:textAlignment w:val="auto"/>
        <w:outlineLvl w:val="2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3.2  通信功能</w:t>
      </w:r>
      <w:bookmarkEnd w:id="6"/>
    </w:p>
    <w:p w14:paraId="284333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产品应具备本地通信和远程通信的能力：</w:t>
      </w:r>
    </w:p>
    <w:p w14:paraId="25E56345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无线远程通信：</w:t>
      </w:r>
    </w:p>
    <w:p w14:paraId="4FE1BBC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4G通信，可定制NB通信；</w:t>
      </w:r>
    </w:p>
    <w:p w14:paraId="0BC76C4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远程通信能够在掉线的情况下自动连接网络及每天进行上线连接。</w:t>
      </w:r>
    </w:p>
    <w:p w14:paraId="7F1A148A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RS-485通信：</w:t>
      </w:r>
    </w:p>
    <w:p w14:paraId="18E4FF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用于调试的上行通信：通讯速率默认配置9600bps，偶校验；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645和376.1均能通讯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</w:p>
    <w:bookmarkEnd w:id="7"/>
    <w:p w14:paraId="45A23A7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2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0" w:leftChars="0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bookmarkStart w:id="8" w:name="_Toc19691"/>
      <w:r>
        <w:rPr>
          <w:rFonts w:hint="eastAsia" w:ascii="宋体" w:hAnsi="宋体" w:eastAsia="宋体" w:cs="宋体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 xml:space="preserve">3.3  </w:t>
      </w:r>
      <w:bookmarkEnd w:id="8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升级、维护功能</w:t>
      </w:r>
    </w:p>
    <w:p w14:paraId="545FD71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产品能够通过远程通信（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4G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）和本地通信（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485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）两种方式进行维护，维护的内容包括：</w:t>
      </w:r>
    </w:p>
    <w:p w14:paraId="09423F3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a）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程序升级：</w:t>
      </w:r>
    </w:p>
    <w:p w14:paraId="05969A2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程序升级支持断点续传，支持升级失败回退功能；</w:t>
      </w:r>
    </w:p>
    <w:p w14:paraId="46A91AF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程序升级后，软件版本号应发生改变，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APP可抄读软件版本号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</w:p>
    <w:p w14:paraId="4682C1C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无论升级是否成功，应保证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设备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内的历史数据、通信参数、定值参数等重要数据不丢失、不改变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 w14:paraId="0E5A49E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b）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功能参数（使能、阈值、时间等）读取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修改：</w:t>
      </w:r>
    </w:p>
    <w:p w14:paraId="515AF13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注：APP可对使能和阈值的相关参数进行读取和设置；</w:t>
      </w:r>
    </w:p>
    <w:p w14:paraId="4A54A0D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云平台可对时间相关参数进行读取和设置；</w:t>
      </w:r>
    </w:p>
    <w:p w14:paraId="7D9A7CB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c）远程复位：</w:t>
      </w:r>
    </w:p>
    <w:p w14:paraId="74F91E0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注：只需云平台可对软件进行远程复位。</w:t>
      </w:r>
    </w:p>
    <w:p w14:paraId="420142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d）校表参数维护：</w:t>
      </w:r>
    </w:p>
    <w:p w14:paraId="16CE882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注：只需云平台可进行校表参数、表号抄读，能够导入校表参数；</w:t>
      </w:r>
    </w:p>
    <w:p w14:paraId="24FF34F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2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0" w:leftChars="0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bookmarkStart w:id="9" w:name="_Toc11087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3.4  时钟及对时功能</w:t>
      </w:r>
      <w:bookmarkEnd w:id="9"/>
    </w:p>
    <w:p w14:paraId="16F963C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2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0" w:leftChars="0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3.4.1  时钟功能</w:t>
      </w:r>
    </w:p>
    <w:p w14:paraId="7827F0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产品具备时钟功能并满足：</w:t>
      </w:r>
    </w:p>
    <w:p w14:paraId="316A23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）时钟具有日历、计时、闰年自动转换功能；</w:t>
      </w:r>
    </w:p>
    <w:p w14:paraId="1C0A85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在工作温度范围日计时误差不应超过1s/d。</w:t>
      </w:r>
    </w:p>
    <w:p w14:paraId="2C48A20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2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0" w:leftChars="0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3.4.2  对时功能</w:t>
      </w:r>
    </w:p>
    <w:p w14:paraId="26B303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）远程对时：</w:t>
      </w:r>
    </w:p>
    <w:p w14:paraId="4B6C2C5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通过4G通信，从网络进行对时；</w:t>
      </w:r>
    </w:p>
    <w:p w14:paraId="027A467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对时的频率支持可配，默认每天进行一次对时。</w:t>
      </w:r>
    </w:p>
    <w:p w14:paraId="57AF51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）本地对时：</w:t>
      </w:r>
    </w:p>
    <w:p w14:paraId="2FEA96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通过RS-485通信，从上位终端进行对时；</w:t>
      </w:r>
    </w:p>
    <w:p w14:paraId="7ED1F6C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9B0DD09">
      <w:pPr>
        <w:pStyle w:val="7"/>
        <w:tabs>
          <w:tab w:val="left" w:pos="1142"/>
          <w:tab w:val="left" w:pos="1143"/>
        </w:tabs>
        <w:spacing w:beforeLines="50" w:afterLines="50" w:line="360" w:lineRule="auto"/>
        <w:ind w:left="0" w:firstLine="0"/>
        <w:jc w:val="both"/>
        <w:outlineLvl w:val="2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数据交互功能</w:t>
      </w:r>
    </w:p>
    <w:p w14:paraId="4DCAC614">
      <w:pPr>
        <w:pStyle w:val="7"/>
        <w:numPr>
          <w:ilvl w:val="0"/>
          <w:numId w:val="3"/>
        </w:numPr>
        <w:tabs>
          <w:tab w:val="left" w:pos="1100"/>
        </w:tabs>
        <w:spacing w:before="120" w:line="360" w:lineRule="auto"/>
        <w:jc w:val="both"/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监控装置与外部设备的数据交互功能由智能终端实现，智能终端获取分路监测模块的数据，然后与外部设备进行数据交互。</w:t>
      </w:r>
    </w:p>
    <w:p w14:paraId="3D27E49F">
      <w:pPr>
        <w:pStyle w:val="7"/>
        <w:numPr>
          <w:numId w:val="0"/>
        </w:numPr>
        <w:tabs>
          <w:tab w:val="left" w:pos="1100"/>
        </w:tabs>
        <w:spacing w:before="120" w:line="360" w:lineRule="auto"/>
        <w:ind w:left="550" w:leftChars="0"/>
        <w:jc w:val="both"/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数据类型：包含但不仅限于实时数据、历史数据、事件数据； </w:t>
      </w:r>
    </w:p>
    <w:p w14:paraId="45CEC9A8">
      <w:pPr>
        <w:pStyle w:val="7"/>
        <w:numPr>
          <w:numId w:val="0"/>
        </w:numPr>
        <w:tabs>
          <w:tab w:val="left" w:pos="1100"/>
        </w:tabs>
        <w:spacing w:before="120" w:line="360" w:lineRule="auto"/>
        <w:ind w:left="550" w:leftChars="0"/>
        <w:jc w:val="both"/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交互模式：包含主动上报和上级召测两种方式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42642B5">
      <w:pPr>
        <w:pStyle w:val="7"/>
        <w:tabs>
          <w:tab w:val="left" w:pos="1142"/>
          <w:tab w:val="left" w:pos="1143"/>
        </w:tabs>
        <w:spacing w:beforeLines="50" w:afterLines="50" w:line="360" w:lineRule="auto"/>
        <w:ind w:left="0" w:firstLine="0"/>
        <w:jc w:val="both"/>
        <w:outlineLvl w:val="1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12" w:name="_GoBack"/>
      <w:bookmarkStart w:id="10" w:name="_Toc31311"/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故障判断功能</w:t>
      </w:r>
      <w:bookmarkEnd w:id="10"/>
    </w:p>
    <w:p w14:paraId="13F4F2AE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监控装置</w:t>
      </w:r>
      <w:r>
        <w:rPr>
          <w:rFonts w:hint="eastAsia" w:ascii="宋体" w:hAnsi="宋体" w:eastAsia="宋体" w:cs="宋体"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能根据各种阈值或参数条件，对采集到的用电数据进行分析，对超出阈值范围的用电情况，能输出相应的告警信号或控制信号进行保护。</w:t>
      </w:r>
    </w:p>
    <w:p w14:paraId="4D6AE5F4">
      <w:pPr>
        <w:pStyle w:val="7"/>
        <w:tabs>
          <w:tab w:val="left" w:pos="1352"/>
          <w:tab w:val="left" w:pos="1353"/>
        </w:tabs>
        <w:spacing w:before="5" w:line="360" w:lineRule="auto"/>
        <w:ind w:left="0" w:firstLine="0"/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.1  过电压保护功能</w:t>
      </w:r>
    </w:p>
    <w:p w14:paraId="5631F505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监控装置持续监测电压实时值，当供电线路发生过电压故障时，能够根据预设的保护方式输出对应信号（告警或分闸）。</w:t>
      </w:r>
    </w:p>
    <w:p w14:paraId="2134FFCA">
      <w:pPr>
        <w:pStyle w:val="7"/>
        <w:tabs>
          <w:tab w:val="left" w:pos="1352"/>
          <w:tab w:val="left" w:pos="1353"/>
        </w:tabs>
        <w:spacing w:before="5" w:line="360" w:lineRule="auto"/>
        <w:ind w:left="0" w:firstLine="0"/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.2  欠电压保护功能</w:t>
      </w:r>
    </w:p>
    <w:p w14:paraId="2D5B8208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监控装置持续监测电压实时值，当供电线路发生欠电压故障时，能够根据预设的保护方式输出对应信号（告警或分闸）。</w:t>
      </w:r>
    </w:p>
    <w:p w14:paraId="095D64AC">
      <w:pPr>
        <w:pStyle w:val="7"/>
        <w:tabs>
          <w:tab w:val="left" w:pos="1352"/>
          <w:tab w:val="left" w:pos="1353"/>
        </w:tabs>
        <w:spacing w:before="5" w:line="360" w:lineRule="auto"/>
        <w:ind w:left="0" w:firstLine="0"/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过电流保护功能</w:t>
      </w:r>
    </w:p>
    <w:p w14:paraId="07BC6BEA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监控装置持续监测电流实时值，当供电线路出现超过预设阀值的电流时，能够根据预设的保护方式输出对应信号（告警或分闸）。</w:t>
      </w:r>
    </w:p>
    <w:p w14:paraId="6B2B2DE8">
      <w:pPr>
        <w:pStyle w:val="7"/>
        <w:tabs>
          <w:tab w:val="left" w:pos="1352"/>
          <w:tab w:val="left" w:pos="1353"/>
        </w:tabs>
        <w:spacing w:before="5" w:line="360" w:lineRule="auto"/>
        <w:ind w:left="0" w:firstLine="0"/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绝缘监测</w:t>
      </w:r>
    </w:p>
    <w:p w14:paraId="7B47A40D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监控装置持续监测漏电流实时值，当供电线路发生绝缘故障时，能够根据预设的保护方式输出对应信号（告警或分闸）。</w:t>
      </w:r>
    </w:p>
    <w:p w14:paraId="2E4570AE">
      <w:pPr>
        <w:pStyle w:val="7"/>
        <w:tabs>
          <w:tab w:val="left" w:pos="1352"/>
          <w:tab w:val="left" w:pos="1353"/>
        </w:tabs>
        <w:spacing w:before="5" w:line="360" w:lineRule="auto"/>
        <w:ind w:left="0" w:firstLine="0"/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漏电保护功能</w:t>
      </w:r>
    </w:p>
    <w:p w14:paraId="1ACC7641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监测装置持续监测漏电流实时值，当供电线路发生漏电故障时，能够根据预设的保护方式输出对应信号（告警或分闸）。</w:t>
      </w:r>
    </w:p>
    <w:p w14:paraId="783787E9">
      <w:pPr>
        <w:pStyle w:val="7"/>
        <w:tabs>
          <w:tab w:val="left" w:pos="1352"/>
          <w:tab w:val="left" w:pos="1353"/>
        </w:tabs>
        <w:spacing w:before="5" w:line="360" w:lineRule="auto"/>
        <w:ind w:left="0" w:firstLine="0"/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智能漏电保护功能</w:t>
      </w:r>
    </w:p>
    <w:p w14:paraId="090F69D5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监测装置持续监测漏电流实时值，确定漏电流不动作值，当供电线路再次发生漏电故障时，能够根据预设的保护方式输出对应信号（告警或分闸）。</w:t>
      </w:r>
    </w:p>
    <w:p w14:paraId="1437E92A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6536F530">
      <w:pPr>
        <w:pStyle w:val="7"/>
        <w:tabs>
          <w:tab w:val="left" w:pos="1352"/>
          <w:tab w:val="left" w:pos="1353"/>
        </w:tabs>
        <w:spacing w:before="5" w:line="360" w:lineRule="auto"/>
        <w:ind w:left="0" w:firstLine="0"/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复电未关负载判断（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选配功能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）</w:t>
      </w:r>
    </w:p>
    <w:p w14:paraId="4C16BC8E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监测装置监测供电线路的停电、复电状态，当发现供电线路复电后有未关负载时，能够根据预设的保护方式输出对应信号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（告警或分闸）</w:t>
      </w:r>
      <w:bookmarkEnd w:id="12"/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A896FCF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36C50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1" w:name="_Toc22464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安装方式</w:t>
      </w:r>
      <w:bookmarkEnd w:id="11"/>
    </w:p>
    <w:p w14:paraId="303EF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导轨式安装</w:t>
      </w:r>
    </w:p>
    <w:p w14:paraId="519B8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jc w:val="center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</w:p>
    <w:p w14:paraId="20D68776">
      <w:pPr>
        <w:jc w:val="center"/>
        <w:rPr>
          <w:rFonts w:hint="eastAsia" w:ascii="宋体" w:hAnsi="宋体" w:eastAsia="宋体" w:cs="宋体"/>
          <w:w w:val="9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w w:val="95"/>
          <w:sz w:val="28"/>
          <w:szCs w:val="28"/>
          <w:lang w:eastAsia="zh-CN"/>
        </w:rPr>
        <w:drawing>
          <wp:inline distT="0" distB="0" distL="114300" distR="114300">
            <wp:extent cx="2974975" cy="4514850"/>
            <wp:effectExtent l="0" t="0" r="15875" b="0"/>
            <wp:docPr id="1" name="图片 1" descr="2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2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3368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02FC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A102FC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EA413"/>
    <w:multiLevelType w:val="multilevel"/>
    <w:tmpl w:val="1B4EA413"/>
    <w:lvl w:ilvl="0" w:tentative="0">
      <w:start w:val="1"/>
      <w:numFmt w:val="lowerLetter"/>
      <w:suff w:val="space"/>
      <w:lvlText w:val="%1)"/>
      <w:lvlJc w:val="left"/>
      <w:pPr>
        <w:ind w:left="0" w:firstLine="550"/>
      </w:pPr>
      <w:rPr>
        <w:rFonts w:hint="default" w:ascii="黑体" w:hAnsi="黑体" w:eastAsia="黑体" w:cs="黑体"/>
        <w:spacing w:val="-47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2430" w:hanging="4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340" w:hanging="4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251" w:hanging="4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161" w:hanging="4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72" w:hanging="4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982" w:hanging="4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893" w:hanging="4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803" w:hanging="419"/>
      </w:pPr>
      <w:rPr>
        <w:rFonts w:hint="default"/>
      </w:rPr>
    </w:lvl>
  </w:abstractNum>
  <w:abstractNum w:abstractNumId="1">
    <w:nsid w:val="428AAA1B"/>
    <w:multiLevelType w:val="singleLevel"/>
    <w:tmpl w:val="428AAA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E9D1757"/>
    <w:multiLevelType w:val="singleLevel"/>
    <w:tmpl w:val="7E9D1757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TcwNjk4YjNjZDdkMjA2ZWQxOTFhYWQwODk4OTQifQ=="/>
  </w:docVars>
  <w:rsids>
    <w:rsidRoot w:val="77BE3B5D"/>
    <w:rsid w:val="06A37331"/>
    <w:rsid w:val="079C0F43"/>
    <w:rsid w:val="0DBB5EAB"/>
    <w:rsid w:val="1525705F"/>
    <w:rsid w:val="16013973"/>
    <w:rsid w:val="16114E4F"/>
    <w:rsid w:val="258052DA"/>
    <w:rsid w:val="281127AD"/>
    <w:rsid w:val="4F9E7898"/>
    <w:rsid w:val="624927B3"/>
    <w:rsid w:val="66173D55"/>
    <w:rsid w:val="72A51424"/>
    <w:rsid w:val="77BE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1"/>
    <w:pPr>
      <w:ind w:left="1516" w:hanging="41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2073</Words>
  <Characters>2365</Characters>
  <Lines>0</Lines>
  <Paragraphs>0</Paragraphs>
  <TotalTime>0</TotalTime>
  <ScaleCrop>false</ScaleCrop>
  <LinksUpToDate>false</LinksUpToDate>
  <CharactersWithSpaces>2437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2024-05-16T07:14:00Z</dcterms:created>
  <dc:creator>士方</dc:creator>
  <cp:lastModifiedBy>士方</cp:lastModifiedBy>
  <dcterms:modified xsi:type="dcterms:W3CDTF">2024-10-11T02:37:57Z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EAEE790ED752496DAE2F8FAA6F2A6D85_13</vt:lpwstr>
  </property>
</Properties>
</file>